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35AB" w14:textId="6FCD4934" w:rsidR="00510906" w:rsidRPr="00510906" w:rsidRDefault="00510906" w:rsidP="00510906">
      <w:pPr>
        <w:pStyle w:val="paragraph"/>
        <w:spacing w:line="360" w:lineRule="auto"/>
        <w:textAlignment w:val="baseline"/>
        <w:rPr>
          <w:rFonts w:asciiTheme="minorHAnsi" w:hAnsiTheme="minorHAnsi"/>
          <w:sz w:val="26"/>
          <w:szCs w:val="26"/>
        </w:rPr>
      </w:pPr>
      <w:bookmarkStart w:id="0" w:name="_Hlk100127669"/>
      <w:r>
        <w:rPr>
          <w:rStyle w:val="normaltextrun"/>
          <w:rFonts w:asciiTheme="minorHAnsi" w:eastAsia="Cambria" w:hAnsiTheme="minorHAnsi"/>
          <w:bCs/>
          <w:color w:val="7F7F7F" w:themeColor="text1" w:themeTint="80"/>
          <w:sz w:val="22"/>
          <w:szCs w:val="22"/>
        </w:rPr>
        <w:t>PRESSEMELDUNG</w:t>
      </w:r>
      <w:r w:rsidR="0033357E">
        <w:rPr>
          <w:rStyle w:val="normaltextrun"/>
          <w:rFonts w:asciiTheme="minorHAnsi" w:eastAsia="Cambria" w:hAnsiTheme="minorHAnsi"/>
          <w:bCs/>
          <w:sz w:val="22"/>
          <w:szCs w:val="22"/>
        </w:rPr>
        <w:br/>
      </w:r>
      <w:r>
        <w:rPr>
          <w:rStyle w:val="normaltextrun"/>
          <w:rFonts w:asciiTheme="minorHAnsi" w:hAnsiTheme="minorHAnsi" w:cs="Arial"/>
          <w:b/>
          <w:bCs/>
          <w:sz w:val="26"/>
          <w:szCs w:val="26"/>
        </w:rPr>
        <w:t>STILLSTAND AUF DEM STUTTGARTER INVESTMENTMARKT</w:t>
      </w:r>
      <w:r>
        <w:rPr>
          <w:rFonts w:asciiTheme="minorHAnsi" w:hAnsiTheme="minorHAnsi"/>
          <w:sz w:val="26"/>
          <w:szCs w:val="26"/>
        </w:rPr>
        <w:br/>
      </w:r>
      <w:r w:rsidRPr="00510906">
        <w:rPr>
          <w:rStyle w:val="normaltextrun"/>
          <w:rFonts w:asciiTheme="minorHAnsi" w:hAnsiTheme="minorHAnsi" w:cs="Arial"/>
          <w:b/>
          <w:bCs/>
          <w:sz w:val="26"/>
          <w:szCs w:val="26"/>
        </w:rPr>
        <w:t>Transaktionsvolumen von 120 Millionen Euro</w:t>
      </w:r>
      <w:r w:rsidRPr="00510906">
        <w:rPr>
          <w:rStyle w:val="normaltextrun"/>
          <w:sz w:val="26"/>
          <w:szCs w:val="26"/>
        </w:rPr>
        <w:t> </w:t>
      </w:r>
      <w:r w:rsidRPr="00510906">
        <w:rPr>
          <w:rStyle w:val="normaltextrun"/>
          <w:rFonts w:asciiTheme="minorHAnsi" w:hAnsiTheme="minorHAnsi" w:cs="Arial"/>
          <w:b/>
          <w:bCs/>
          <w:sz w:val="26"/>
          <w:szCs w:val="26"/>
        </w:rPr>
        <w:t>im 2. Quartal</w:t>
      </w:r>
      <w:r>
        <w:rPr>
          <w:rStyle w:val="normaltextrun"/>
          <w:rFonts w:asciiTheme="minorHAnsi" w:hAnsiTheme="minorHAnsi" w:cs="Arial"/>
          <w:b/>
          <w:bCs/>
          <w:sz w:val="26"/>
          <w:szCs w:val="26"/>
        </w:rPr>
        <w:t xml:space="preserve"> 2022</w:t>
      </w:r>
    </w:p>
    <w:bookmarkEnd w:id="0"/>
    <w:p w14:paraId="0B72827C" w14:textId="0C29DC3B" w:rsidR="00510906" w:rsidRPr="00D138C5" w:rsidRDefault="00510906" w:rsidP="00510906">
      <w:pPr>
        <w:pStyle w:val="paragraph"/>
        <w:spacing w:line="360" w:lineRule="auto"/>
        <w:jc w:val="both"/>
        <w:textAlignment w:val="baseline"/>
        <w:rPr>
          <w:rFonts w:ascii="Calibri" w:hAnsi="Calibri"/>
          <w:sz w:val="22"/>
          <w:szCs w:val="22"/>
        </w:rPr>
      </w:pPr>
      <w:r>
        <w:rPr>
          <w:rStyle w:val="normaltextrun"/>
          <w:rFonts w:ascii="Calibri" w:hAnsi="Calibri" w:cs="Arial"/>
          <w:b/>
          <w:bCs/>
          <w:sz w:val="22"/>
          <w:szCs w:val="22"/>
        </w:rPr>
        <w:br/>
      </w:r>
      <w:r w:rsidRPr="00D138C5">
        <w:rPr>
          <w:rStyle w:val="normaltextrun"/>
          <w:rFonts w:ascii="Calibri" w:hAnsi="Calibri" w:cs="Arial"/>
          <w:b/>
          <w:bCs/>
          <w:sz w:val="22"/>
          <w:szCs w:val="22"/>
        </w:rPr>
        <w:t xml:space="preserve">Stuttgart, </w:t>
      </w:r>
      <w:r>
        <w:rPr>
          <w:rStyle w:val="normaltextrun"/>
          <w:rFonts w:ascii="Calibri" w:hAnsi="Calibri" w:cs="Arial"/>
          <w:b/>
          <w:bCs/>
          <w:sz w:val="22"/>
          <w:szCs w:val="22"/>
        </w:rPr>
        <w:t>30. Juni</w:t>
      </w:r>
      <w:r w:rsidRPr="00D138C5">
        <w:rPr>
          <w:rStyle w:val="normaltextrun"/>
          <w:rFonts w:ascii="Calibri" w:hAnsi="Calibri" w:cs="Arial"/>
          <w:b/>
          <w:bCs/>
          <w:sz w:val="22"/>
          <w:szCs w:val="22"/>
        </w:rPr>
        <w:t xml:space="preserve"> </w:t>
      </w:r>
      <w:r>
        <w:rPr>
          <w:rStyle w:val="normaltextrun"/>
          <w:rFonts w:ascii="Calibri" w:hAnsi="Calibri" w:cs="Arial"/>
          <w:b/>
          <w:bCs/>
          <w:sz w:val="22"/>
          <w:szCs w:val="22"/>
        </w:rPr>
        <w:t>2022</w:t>
      </w:r>
      <w:r w:rsidRPr="00D138C5">
        <w:rPr>
          <w:rStyle w:val="normaltextrun"/>
          <w:rFonts w:ascii="Calibri" w:hAnsi="Calibri" w:cs="Arial"/>
          <w:b/>
          <w:bCs/>
          <w:sz w:val="22"/>
          <w:szCs w:val="22"/>
        </w:rPr>
        <w:t xml:space="preserve"> – </w:t>
      </w:r>
      <w:r w:rsidRPr="00D138C5">
        <w:rPr>
          <w:rStyle w:val="normaltextrun"/>
          <w:rFonts w:ascii="Calibri" w:hAnsi="Calibri" w:cs="Arial"/>
          <w:sz w:val="22"/>
          <w:szCs w:val="22"/>
        </w:rPr>
        <w:t>Auf dem Stuttgarter Immobilien-Investmentmarkt wurden im</w:t>
      </w:r>
      <w:r>
        <w:rPr>
          <w:rStyle w:val="normaltextrun"/>
          <w:rFonts w:ascii="Calibri" w:hAnsi="Calibri" w:cs="Arial"/>
          <w:sz w:val="22"/>
          <w:szCs w:val="22"/>
        </w:rPr>
        <w:t xml:space="preserve"> </w:t>
      </w:r>
      <w:r>
        <w:rPr>
          <w:rStyle w:val="normaltextrun"/>
          <w:rFonts w:ascii="Calibri" w:hAnsi="Calibri" w:cs="Arial"/>
          <w:sz w:val="22"/>
          <w:szCs w:val="22"/>
        </w:rPr>
        <w:t xml:space="preserve">2. </w:t>
      </w:r>
      <w:r w:rsidRPr="00D138C5">
        <w:rPr>
          <w:rStyle w:val="normaltextrun"/>
          <w:rFonts w:ascii="Calibri" w:hAnsi="Calibri" w:cs="Arial"/>
          <w:sz w:val="22"/>
          <w:szCs w:val="22"/>
        </w:rPr>
        <w:t xml:space="preserve">Quartal </w:t>
      </w:r>
      <w:r>
        <w:rPr>
          <w:rStyle w:val="normaltextrun"/>
          <w:rFonts w:ascii="Calibri" w:hAnsi="Calibri" w:cs="Arial"/>
          <w:sz w:val="22"/>
          <w:szCs w:val="22"/>
        </w:rPr>
        <w:t>2022</w:t>
      </w:r>
      <w:r w:rsidRPr="00D138C5">
        <w:rPr>
          <w:rStyle w:val="normaltextrun"/>
          <w:rFonts w:ascii="Calibri" w:hAnsi="Calibri" w:cs="Arial"/>
          <w:sz w:val="22"/>
          <w:szCs w:val="22"/>
        </w:rPr>
        <w:t xml:space="preserve"> </w:t>
      </w:r>
      <w:r>
        <w:rPr>
          <w:rStyle w:val="normaltextrun"/>
          <w:rFonts w:ascii="Calibri" w:hAnsi="Calibri" w:cs="Arial"/>
          <w:sz w:val="22"/>
          <w:szCs w:val="22"/>
        </w:rPr>
        <w:t>nur 120</w:t>
      </w:r>
      <w:r w:rsidRPr="00D138C5">
        <w:rPr>
          <w:rStyle w:val="normaltextrun"/>
          <w:rFonts w:ascii="Calibri" w:hAnsi="Calibri" w:cs="Arial"/>
          <w:sz w:val="22"/>
          <w:szCs w:val="22"/>
        </w:rPr>
        <w:t xml:space="preserve"> Mi</w:t>
      </w:r>
      <w:r>
        <w:rPr>
          <w:rStyle w:val="normaltextrun"/>
          <w:rFonts w:ascii="Calibri" w:hAnsi="Calibri" w:cs="Arial"/>
          <w:sz w:val="22"/>
          <w:szCs w:val="22"/>
        </w:rPr>
        <w:t>o.</w:t>
      </w:r>
      <w:r w:rsidRPr="00D138C5">
        <w:rPr>
          <w:rStyle w:val="normaltextrun"/>
          <w:rFonts w:ascii="Calibri" w:hAnsi="Calibri" w:cs="Arial"/>
          <w:sz w:val="22"/>
          <w:szCs w:val="22"/>
        </w:rPr>
        <w:t xml:space="preserve"> </w:t>
      </w:r>
      <w:r>
        <w:rPr>
          <w:rStyle w:val="normaltextrun"/>
          <w:rFonts w:ascii="Calibri" w:hAnsi="Calibri" w:cs="Arial"/>
          <w:sz w:val="22"/>
          <w:szCs w:val="22"/>
        </w:rPr>
        <w:t>€</w:t>
      </w:r>
      <w:r w:rsidRPr="00D138C5">
        <w:rPr>
          <w:rStyle w:val="normaltextrun"/>
          <w:rFonts w:ascii="Calibri" w:hAnsi="Calibri" w:cs="Arial"/>
          <w:sz w:val="22"/>
          <w:szCs w:val="22"/>
        </w:rPr>
        <w:t xml:space="preserve"> investiert</w:t>
      </w:r>
      <w:r>
        <w:rPr>
          <w:rStyle w:val="normaltextrun"/>
          <w:rFonts w:ascii="Calibri" w:hAnsi="Calibri" w:cs="Arial"/>
          <w:sz w:val="22"/>
          <w:szCs w:val="22"/>
        </w:rPr>
        <w:t xml:space="preserve"> und damit rund 60 % weniger als im Vorjahresquartal</w:t>
      </w:r>
      <w:r w:rsidRPr="00D138C5">
        <w:rPr>
          <w:rStyle w:val="normaltextrun"/>
          <w:rFonts w:ascii="Calibri" w:hAnsi="Calibri" w:cs="Arial"/>
          <w:sz w:val="22"/>
          <w:szCs w:val="22"/>
        </w:rPr>
        <w:t>.</w:t>
      </w:r>
      <w:r>
        <w:rPr>
          <w:rStyle w:val="normaltextrun"/>
          <w:rFonts w:ascii="Calibri" w:hAnsi="Calibri" w:cs="Arial"/>
          <w:sz w:val="22"/>
          <w:szCs w:val="22"/>
        </w:rPr>
        <w:t xml:space="preserve"> Zusammen mit dem </w:t>
      </w:r>
      <w:r>
        <w:rPr>
          <w:rStyle w:val="normaltextrun"/>
          <w:rFonts w:ascii="Calibri" w:hAnsi="Calibri" w:cs="Arial"/>
          <w:sz w:val="22"/>
          <w:szCs w:val="22"/>
        </w:rPr>
        <w:t>1.</w:t>
      </w:r>
      <w:r>
        <w:rPr>
          <w:rStyle w:val="normaltextrun"/>
          <w:rFonts w:ascii="Calibri" w:hAnsi="Calibri" w:cs="Arial"/>
          <w:sz w:val="22"/>
          <w:szCs w:val="22"/>
        </w:rPr>
        <w:t xml:space="preserve"> Quartal ist das Transaktionsvolumen im ersten Halbjahr 2022 mit ca. 650 Mio. </w:t>
      </w:r>
      <w:r>
        <w:rPr>
          <w:rStyle w:val="normaltextrun"/>
          <w:rFonts w:ascii="Calibri" w:hAnsi="Calibri" w:cs="Arial"/>
          <w:sz w:val="22"/>
          <w:szCs w:val="22"/>
        </w:rPr>
        <w:t>€</w:t>
      </w:r>
      <w:r>
        <w:rPr>
          <w:rStyle w:val="normaltextrun"/>
          <w:rFonts w:ascii="Calibri" w:hAnsi="Calibri" w:cs="Arial"/>
          <w:sz w:val="22"/>
          <w:szCs w:val="22"/>
        </w:rPr>
        <w:t xml:space="preserve"> zwar rund 90 Mio. </w:t>
      </w:r>
      <w:r>
        <w:rPr>
          <w:rStyle w:val="normaltextrun"/>
          <w:rFonts w:ascii="Calibri" w:hAnsi="Calibri" w:cs="Arial"/>
          <w:sz w:val="22"/>
          <w:szCs w:val="22"/>
        </w:rPr>
        <w:t>€</w:t>
      </w:r>
      <w:r>
        <w:rPr>
          <w:rStyle w:val="normaltextrun"/>
          <w:rFonts w:ascii="Calibri" w:hAnsi="Calibri" w:cs="Arial"/>
          <w:sz w:val="22"/>
          <w:szCs w:val="22"/>
        </w:rPr>
        <w:t xml:space="preserve"> höher als im Vorjahreszeitraum, allerdings ist dies einem Sondereffekt geschuldet. </w:t>
      </w:r>
      <w:r w:rsidRPr="00D138C5">
        <w:rPr>
          <w:rStyle w:val="normaltextrun"/>
          <w:rFonts w:ascii="Calibri" w:hAnsi="Calibri" w:cs="Arial"/>
          <w:sz w:val="22"/>
          <w:szCs w:val="22"/>
        </w:rPr>
        <w:t xml:space="preserve">Das sind die </w:t>
      </w:r>
      <w:r>
        <w:rPr>
          <w:rStyle w:val="normaltextrun"/>
          <w:rFonts w:ascii="Calibri" w:hAnsi="Calibri" w:cs="Arial"/>
          <w:sz w:val="22"/>
          <w:szCs w:val="22"/>
        </w:rPr>
        <w:t xml:space="preserve">aktuellen </w:t>
      </w:r>
      <w:r w:rsidRPr="00D138C5">
        <w:rPr>
          <w:rStyle w:val="normaltextrun"/>
          <w:rFonts w:ascii="Calibri" w:hAnsi="Calibri" w:cs="Arial"/>
          <w:sz w:val="22"/>
          <w:szCs w:val="22"/>
        </w:rPr>
        <w:t>Ergebnisse der Erhebungen von E &amp; G Real Estate für den Investmentmarkt Stuttgart.</w:t>
      </w:r>
      <w:r w:rsidRPr="00D138C5">
        <w:rPr>
          <w:rStyle w:val="eop"/>
          <w:rFonts w:ascii="Calibri" w:hAnsi="Calibri" w:cs="Arial"/>
          <w:sz w:val="22"/>
          <w:szCs w:val="22"/>
        </w:rPr>
        <w:t> </w:t>
      </w:r>
    </w:p>
    <w:p w14:paraId="43048DE9" w14:textId="3B756994" w:rsidR="00510906" w:rsidRDefault="00510906" w:rsidP="00510906">
      <w:pPr>
        <w:pStyle w:val="paragraph"/>
        <w:spacing w:line="360" w:lineRule="auto"/>
        <w:jc w:val="both"/>
        <w:textAlignment w:val="baseline"/>
        <w:rPr>
          <w:rStyle w:val="normaltextrun"/>
          <w:rFonts w:ascii="Calibri" w:hAnsi="Calibri" w:cs="Arial"/>
          <w:sz w:val="22"/>
          <w:szCs w:val="22"/>
        </w:rPr>
      </w:pPr>
      <w:r>
        <w:rPr>
          <w:rStyle w:val="normaltextrun"/>
          <w:rFonts w:ascii="Calibri" w:hAnsi="Calibri" w:cs="Arial"/>
          <w:sz w:val="22"/>
          <w:szCs w:val="22"/>
        </w:rPr>
        <w:t xml:space="preserve">„Das Jahr 2022 ist ruhig ins 1. Quartal gestartet. Ohne den Sondereffekt der Übernahme des mehrheitlichen Teils der Aktien der alstria office REIT-AG durch Brookfield Asset Management, wäre das 1. Quartal deutlich schwächer gestartet. Aufgrund der Zinsentwicklung und der damit verbundenen Unsicherheit im Markt hat </w:t>
      </w:r>
      <w:r w:rsidRPr="00935271">
        <w:rPr>
          <w:rStyle w:val="normaltextrun"/>
          <w:rFonts w:asciiTheme="minorHAnsi" w:hAnsiTheme="minorHAnsi" w:cstheme="minorHAnsi"/>
          <w:sz w:val="22"/>
          <w:szCs w:val="22"/>
        </w:rPr>
        <w:t xml:space="preserve">das Transaktionsvolumen im 2. Quartal einen historisch niedrigen Wert erreicht. </w:t>
      </w:r>
      <w:r>
        <w:rPr>
          <w:rStyle w:val="normaltextrun"/>
          <w:rFonts w:asciiTheme="minorHAnsi" w:hAnsiTheme="minorHAnsi" w:cstheme="minorHAnsi"/>
          <w:sz w:val="22"/>
          <w:szCs w:val="22"/>
        </w:rPr>
        <w:t xml:space="preserve">Viele Käufer und Verkäufer üben sich wegen der weltpolitischen Lage und der Zinsentwicklung in Zurückhaltung. Eine Neuorientierung findet statt um die aktuelle Situation einzuordnen, sodass sich eine große Anzahl von Investoren in Wartestellung befinden. </w:t>
      </w:r>
      <w:r>
        <w:rPr>
          <w:rStyle w:val="normaltextrun"/>
          <w:rFonts w:ascii="Calibri" w:hAnsi="Calibri" w:cs="Arial"/>
          <w:sz w:val="22"/>
          <w:szCs w:val="22"/>
        </w:rPr>
        <w:t xml:space="preserve">Nichtsdestotrotz sind Investoren darauf angewiesen </w:t>
      </w:r>
      <w:r>
        <w:rPr>
          <w:rStyle w:val="normaltextrun"/>
          <w:rFonts w:ascii="Calibri" w:hAnsi="Calibri" w:cs="Arial"/>
          <w:sz w:val="22"/>
          <w:szCs w:val="22"/>
        </w:rPr>
        <w:t>i</w:t>
      </w:r>
      <w:r>
        <w:rPr>
          <w:rStyle w:val="normaltextrun"/>
          <w:rFonts w:ascii="Calibri" w:hAnsi="Calibri" w:cs="Arial"/>
          <w:sz w:val="22"/>
          <w:szCs w:val="22"/>
        </w:rPr>
        <w:t xml:space="preserve">hre Jahresziele zu erreichen. Somit rechnen wir, durch die sich in abwartender Haltung befindlichen Investoren, mit einer Zunahme der Transaktionstätigkeit im Laufe des zweiten Halbjahres.“, berichtet Björn Holzwarth, geschäftsführender Gesellschafter der E &amp; G Real Estate GmbH. </w:t>
      </w:r>
    </w:p>
    <w:p w14:paraId="20C50CB2" w14:textId="75624FC0" w:rsidR="00510906" w:rsidRPr="00D138C5" w:rsidRDefault="00510906" w:rsidP="00510906">
      <w:pPr>
        <w:spacing w:before="100" w:beforeAutospacing="1" w:after="100" w:afterAutospacing="1" w:line="360" w:lineRule="auto"/>
        <w:jc w:val="both"/>
        <w:textAlignment w:val="baseline"/>
        <w:rPr>
          <w:rFonts w:ascii="Calibri" w:eastAsia="Times New Roman" w:hAnsi="Calibri" w:cs="Times New Roman"/>
          <w:lang w:eastAsia="de-DE"/>
        </w:rPr>
      </w:pPr>
      <w:r w:rsidRPr="00D138C5">
        <w:rPr>
          <w:rFonts w:ascii="Calibri" w:eastAsia="Times New Roman" w:hAnsi="Calibri" w:cs="Arial"/>
          <w:lang w:eastAsia="de-DE"/>
        </w:rPr>
        <w:t xml:space="preserve">Insgesamt wurden im ersten </w:t>
      </w:r>
      <w:r>
        <w:rPr>
          <w:rFonts w:ascii="Calibri" w:eastAsia="Times New Roman" w:hAnsi="Calibri" w:cs="Arial"/>
          <w:lang w:eastAsia="de-DE"/>
        </w:rPr>
        <w:t>Halbjahr</w:t>
      </w:r>
      <w:r w:rsidRPr="00D138C5">
        <w:rPr>
          <w:rFonts w:ascii="Calibri" w:eastAsia="Times New Roman" w:hAnsi="Calibri" w:cs="Arial"/>
          <w:lang w:eastAsia="de-DE"/>
        </w:rPr>
        <w:t xml:space="preserve"> </w:t>
      </w:r>
      <w:r>
        <w:rPr>
          <w:rFonts w:ascii="Calibri" w:eastAsia="Times New Roman" w:hAnsi="Calibri" w:cs="Arial"/>
          <w:lang w:eastAsia="de-DE"/>
        </w:rPr>
        <w:t>nur rund 15</w:t>
      </w:r>
      <w:r w:rsidRPr="00D138C5">
        <w:rPr>
          <w:rFonts w:ascii="Calibri" w:eastAsia="Times New Roman" w:hAnsi="Calibri" w:cs="Arial"/>
          <w:lang w:eastAsia="de-DE"/>
        </w:rPr>
        <w:t xml:space="preserve"> Transaktionen getätigt. Der Fokus der Investoren lag auf der Nutzungsart </w:t>
      </w:r>
      <w:r>
        <w:rPr>
          <w:rFonts w:ascii="Calibri" w:eastAsia="Times New Roman" w:hAnsi="Calibri" w:cs="Arial"/>
          <w:lang w:eastAsia="de-DE"/>
        </w:rPr>
        <w:t>Büro</w:t>
      </w:r>
      <w:r w:rsidRPr="00D138C5">
        <w:rPr>
          <w:rFonts w:ascii="Calibri" w:eastAsia="Times New Roman" w:hAnsi="Calibri" w:cs="Arial"/>
          <w:lang w:eastAsia="de-DE"/>
        </w:rPr>
        <w:t xml:space="preserve"> mit </w:t>
      </w:r>
      <w:r>
        <w:rPr>
          <w:rFonts w:ascii="Calibri" w:eastAsia="Times New Roman" w:hAnsi="Calibri" w:cs="Arial"/>
          <w:lang w:eastAsia="de-DE"/>
        </w:rPr>
        <w:t>etwa</w:t>
      </w:r>
      <w:r w:rsidRPr="00D138C5">
        <w:rPr>
          <w:rFonts w:ascii="Calibri" w:eastAsia="Times New Roman" w:hAnsi="Calibri" w:cs="Arial"/>
          <w:lang w:eastAsia="de-DE"/>
        </w:rPr>
        <w:t xml:space="preserve"> </w:t>
      </w:r>
      <w:r>
        <w:rPr>
          <w:rFonts w:ascii="Calibri" w:eastAsia="Times New Roman" w:hAnsi="Calibri" w:cs="Arial"/>
          <w:lang w:eastAsia="de-DE"/>
        </w:rPr>
        <w:t>75</w:t>
      </w:r>
      <w:r w:rsidRPr="00D138C5">
        <w:rPr>
          <w:rFonts w:ascii="Calibri" w:eastAsia="Times New Roman" w:hAnsi="Calibri" w:cs="Arial"/>
          <w:lang w:eastAsia="de-DE"/>
        </w:rPr>
        <w:t xml:space="preserve"> </w:t>
      </w:r>
      <w:r>
        <w:rPr>
          <w:rFonts w:ascii="Calibri" w:eastAsia="Times New Roman" w:hAnsi="Calibri" w:cs="Arial"/>
          <w:lang w:eastAsia="de-DE"/>
        </w:rPr>
        <w:t>%</w:t>
      </w:r>
      <w:r w:rsidRPr="00D138C5">
        <w:rPr>
          <w:rFonts w:ascii="Calibri" w:eastAsia="Times New Roman" w:hAnsi="Calibri" w:cs="Arial"/>
          <w:lang w:eastAsia="de-DE"/>
        </w:rPr>
        <w:t xml:space="preserve"> Anteil am Transaktionsvolumen</w:t>
      </w:r>
      <w:r>
        <w:rPr>
          <w:rFonts w:ascii="Calibri" w:eastAsia="Times New Roman" w:hAnsi="Calibri" w:cs="Arial"/>
          <w:lang w:eastAsia="de-DE"/>
        </w:rPr>
        <w:t xml:space="preserve">. Gemischt genutzte Immobilien und Hotel folgten mit ca. 12 </w:t>
      </w:r>
      <w:r>
        <w:rPr>
          <w:rFonts w:ascii="Calibri" w:eastAsia="Times New Roman" w:hAnsi="Calibri" w:cs="Arial"/>
          <w:lang w:eastAsia="de-DE"/>
        </w:rPr>
        <w:t>%</w:t>
      </w:r>
      <w:r>
        <w:rPr>
          <w:rFonts w:ascii="Calibri" w:eastAsia="Times New Roman" w:hAnsi="Calibri" w:cs="Arial"/>
          <w:lang w:eastAsia="de-DE"/>
        </w:rPr>
        <w:t>.</w:t>
      </w:r>
    </w:p>
    <w:p w14:paraId="4284D577" w14:textId="6774AF55" w:rsidR="00510906" w:rsidRDefault="00510906" w:rsidP="00510906">
      <w:pPr>
        <w:spacing w:before="100" w:beforeAutospacing="1" w:after="100" w:afterAutospacing="1" w:line="360" w:lineRule="auto"/>
        <w:jc w:val="both"/>
        <w:textAlignment w:val="baseline"/>
        <w:rPr>
          <w:rFonts w:ascii="Calibri" w:eastAsia="Times New Roman" w:hAnsi="Calibri" w:cs="Arial"/>
          <w:lang w:eastAsia="de-DE"/>
        </w:rPr>
      </w:pPr>
      <w:r>
        <w:rPr>
          <w:rFonts w:ascii="Calibri" w:eastAsia="Times New Roman" w:hAnsi="Calibri" w:cs="Arial"/>
          <w:lang w:eastAsia="de-DE"/>
        </w:rPr>
        <w:t xml:space="preserve">Als Käufer waren Fondsmanager mit rund 63 </w:t>
      </w:r>
      <w:r>
        <w:rPr>
          <w:rFonts w:ascii="Calibri" w:eastAsia="Times New Roman" w:hAnsi="Calibri" w:cs="Arial"/>
          <w:lang w:eastAsia="de-DE"/>
        </w:rPr>
        <w:t>%</w:t>
      </w:r>
      <w:r>
        <w:rPr>
          <w:rFonts w:ascii="Calibri" w:eastAsia="Times New Roman" w:hAnsi="Calibri" w:cs="Arial"/>
          <w:lang w:eastAsia="de-DE"/>
        </w:rPr>
        <w:t xml:space="preserve"> Anteil am Transaktionsvolumen die dominierende Gruppe. Einen weiteren bedeutenden Anteil am Investmentmarkt hatten Offene Immobilienfonds/Spezialfonds mit fast 16 </w:t>
      </w:r>
      <w:r>
        <w:rPr>
          <w:rFonts w:ascii="Calibri" w:eastAsia="Times New Roman" w:hAnsi="Calibri" w:cs="Arial"/>
          <w:lang w:eastAsia="de-DE"/>
        </w:rPr>
        <w:t>%</w:t>
      </w:r>
      <w:r>
        <w:rPr>
          <w:rFonts w:ascii="Calibri" w:eastAsia="Times New Roman" w:hAnsi="Calibri" w:cs="Arial"/>
          <w:lang w:eastAsia="de-DE"/>
        </w:rPr>
        <w:t xml:space="preserve"> und Corporates mit etwa </w:t>
      </w:r>
      <w:r>
        <w:rPr>
          <w:rFonts w:ascii="Calibri" w:eastAsia="Times New Roman" w:hAnsi="Calibri" w:cs="Arial"/>
          <w:lang w:eastAsia="de-DE"/>
        </w:rPr>
        <w:t>11 %</w:t>
      </w:r>
      <w:r>
        <w:rPr>
          <w:rFonts w:ascii="Calibri" w:eastAsia="Times New Roman" w:hAnsi="Calibri" w:cs="Arial"/>
          <w:lang w:eastAsia="de-DE"/>
        </w:rPr>
        <w:t xml:space="preserve"> Marktanteil. </w:t>
      </w:r>
    </w:p>
    <w:p w14:paraId="7CFE1709" w14:textId="3D47F587" w:rsidR="00510906" w:rsidRPr="00D138C5" w:rsidRDefault="00510906" w:rsidP="00510906">
      <w:pPr>
        <w:spacing w:before="100" w:beforeAutospacing="1" w:after="100" w:afterAutospacing="1" w:line="360" w:lineRule="auto"/>
        <w:jc w:val="both"/>
        <w:textAlignment w:val="baseline"/>
        <w:rPr>
          <w:rFonts w:ascii="Calibri" w:eastAsia="Times New Roman" w:hAnsi="Calibri" w:cs="Times New Roman"/>
          <w:lang w:eastAsia="de-DE"/>
        </w:rPr>
      </w:pPr>
      <w:r w:rsidRPr="00D138C5">
        <w:rPr>
          <w:rFonts w:ascii="Calibri" w:eastAsia="Times New Roman" w:hAnsi="Calibri" w:cs="Arial"/>
          <w:lang w:eastAsia="de-DE"/>
        </w:rPr>
        <w:t xml:space="preserve">Auf der Verkäuferseite waren </w:t>
      </w:r>
      <w:r>
        <w:rPr>
          <w:rFonts w:ascii="Calibri" w:eastAsia="Times New Roman" w:hAnsi="Calibri" w:cs="Arial"/>
          <w:lang w:eastAsia="de-DE"/>
        </w:rPr>
        <w:t xml:space="preserve">börsennotierte Immobilien </w:t>
      </w:r>
      <w:r>
        <w:rPr>
          <w:rFonts w:ascii="Calibri" w:eastAsia="Times New Roman" w:hAnsi="Calibri" w:cs="Arial"/>
          <w:lang w:eastAsia="de-DE"/>
        </w:rPr>
        <w:t>AGs</w:t>
      </w:r>
      <w:r>
        <w:rPr>
          <w:rFonts w:ascii="Calibri" w:eastAsia="Times New Roman" w:hAnsi="Calibri" w:cs="Arial"/>
          <w:lang w:eastAsia="de-DE"/>
        </w:rPr>
        <w:t xml:space="preserve">/REITs </w:t>
      </w:r>
      <w:r w:rsidRPr="00D138C5">
        <w:rPr>
          <w:rFonts w:ascii="Calibri" w:eastAsia="Times New Roman" w:hAnsi="Calibri" w:cs="Arial"/>
          <w:lang w:eastAsia="de-DE"/>
        </w:rPr>
        <w:t xml:space="preserve">mit einem Anteil von etwa </w:t>
      </w:r>
      <w:r>
        <w:rPr>
          <w:rFonts w:ascii="Calibri" w:eastAsia="Times New Roman" w:hAnsi="Calibri" w:cs="Arial"/>
          <w:lang w:eastAsia="de-DE"/>
        </w:rPr>
        <w:t>73</w:t>
      </w:r>
      <w:r w:rsidRPr="00D138C5">
        <w:rPr>
          <w:rFonts w:ascii="Calibri" w:eastAsia="Times New Roman" w:hAnsi="Calibri" w:cs="Arial"/>
          <w:lang w:eastAsia="de-DE"/>
        </w:rPr>
        <w:t xml:space="preserve"> </w:t>
      </w:r>
      <w:r>
        <w:rPr>
          <w:rFonts w:ascii="Calibri" w:eastAsia="Times New Roman" w:hAnsi="Calibri" w:cs="Arial"/>
          <w:lang w:eastAsia="de-DE"/>
        </w:rPr>
        <w:t>%</w:t>
      </w:r>
      <w:r w:rsidRPr="00D138C5">
        <w:rPr>
          <w:rFonts w:ascii="Calibri" w:eastAsia="Times New Roman" w:hAnsi="Calibri" w:cs="Arial"/>
          <w:lang w:eastAsia="de-DE"/>
        </w:rPr>
        <w:t xml:space="preserve"> am Transaktionsvolumen </w:t>
      </w:r>
      <w:r>
        <w:rPr>
          <w:rFonts w:ascii="Calibri" w:eastAsia="Times New Roman" w:hAnsi="Calibri" w:cs="Arial"/>
          <w:lang w:eastAsia="de-DE"/>
        </w:rPr>
        <w:t>e</w:t>
      </w:r>
      <w:r w:rsidRPr="00D138C5">
        <w:rPr>
          <w:rFonts w:ascii="Calibri" w:eastAsia="Times New Roman" w:hAnsi="Calibri" w:cs="Arial"/>
          <w:lang w:eastAsia="de-DE"/>
        </w:rPr>
        <w:t xml:space="preserve">indeutig dominierend, gefolgt von </w:t>
      </w:r>
      <w:r>
        <w:rPr>
          <w:rFonts w:ascii="Calibri" w:eastAsia="Times New Roman" w:hAnsi="Calibri" w:cs="Arial"/>
          <w:lang w:eastAsia="de-DE"/>
        </w:rPr>
        <w:t xml:space="preserve">Privateigentümern und </w:t>
      </w:r>
      <w:r>
        <w:rPr>
          <w:rFonts w:ascii="Calibri" w:eastAsia="Times New Roman" w:hAnsi="Calibri" w:cs="Arial"/>
          <w:lang w:eastAsia="de-DE"/>
        </w:rPr>
        <w:lastRenderedPageBreak/>
        <w:t xml:space="preserve">Projektentwicklern mit jeweils rund 11 </w:t>
      </w:r>
      <w:r>
        <w:rPr>
          <w:rFonts w:ascii="Calibri" w:eastAsia="Times New Roman" w:hAnsi="Calibri" w:cs="Arial"/>
          <w:lang w:eastAsia="de-DE"/>
        </w:rPr>
        <w:t xml:space="preserve">% </w:t>
      </w:r>
      <w:r w:rsidRPr="00D138C5">
        <w:rPr>
          <w:rFonts w:ascii="Calibri" w:eastAsia="Times New Roman" w:hAnsi="Calibri" w:cs="Arial"/>
          <w:lang w:eastAsia="de-DE"/>
        </w:rPr>
        <w:t>Marktanteil.</w:t>
      </w:r>
      <w:r>
        <w:rPr>
          <w:rFonts w:ascii="Calibri" w:eastAsia="Times New Roman" w:hAnsi="Calibri" w:cs="Arial"/>
          <w:lang w:eastAsia="de-DE"/>
        </w:rPr>
        <w:t xml:space="preserve"> Alle anderen Marktteilnehmer spielten nur eine untergeordnete Rolle.</w:t>
      </w:r>
    </w:p>
    <w:p w14:paraId="3AC6A82F" w14:textId="6809B81A" w:rsidR="00510906" w:rsidRPr="009F7762" w:rsidRDefault="00510906" w:rsidP="00510906">
      <w:pPr>
        <w:spacing w:before="100" w:beforeAutospacing="1" w:after="100" w:afterAutospacing="1" w:line="360" w:lineRule="auto"/>
        <w:jc w:val="both"/>
        <w:textAlignment w:val="baseline"/>
        <w:rPr>
          <w:rFonts w:ascii="Calibri" w:eastAsia="Times New Roman" w:hAnsi="Calibri" w:cs="Arial"/>
          <w:lang w:eastAsia="de-DE"/>
        </w:rPr>
      </w:pPr>
      <w:r w:rsidRPr="00D138C5">
        <w:rPr>
          <w:rFonts w:ascii="Calibri" w:eastAsia="Times New Roman" w:hAnsi="Calibri" w:cs="Arial"/>
          <w:lang w:eastAsia="de-DE"/>
        </w:rPr>
        <w:t> „</w:t>
      </w:r>
      <w:r>
        <w:rPr>
          <w:rFonts w:ascii="Calibri" w:eastAsia="Times New Roman" w:hAnsi="Calibri" w:cs="Arial"/>
          <w:lang w:eastAsia="de-DE"/>
        </w:rPr>
        <w:t>Durch die aktuellen Unsicherheiten im Hinblick auf die Zinsentwicklung und die damit verbundene Zurückhaltung der Investoren</w:t>
      </w:r>
      <w:r>
        <w:rPr>
          <w:rFonts w:ascii="Calibri" w:eastAsia="Times New Roman" w:hAnsi="Calibri" w:cs="Arial"/>
          <w:lang w:eastAsia="de-DE"/>
        </w:rPr>
        <w:t>,</w:t>
      </w:r>
      <w:r>
        <w:rPr>
          <w:rFonts w:ascii="Calibri" w:eastAsia="Times New Roman" w:hAnsi="Calibri" w:cs="Arial"/>
          <w:lang w:eastAsia="de-DE"/>
        </w:rPr>
        <w:t xml:space="preserve"> ist eine Vorhersage für den Investmentmarkt Stuttgart grundsätzlich schwierig.</w:t>
      </w:r>
      <w:r w:rsidRPr="00D138C5">
        <w:rPr>
          <w:rFonts w:ascii="Calibri" w:eastAsia="Times New Roman" w:hAnsi="Calibri" w:cs="Arial"/>
          <w:lang w:eastAsia="de-DE"/>
        </w:rPr>
        <w:t>“, sagt Holzwarth. „</w:t>
      </w:r>
      <w:r>
        <w:rPr>
          <w:rFonts w:ascii="Calibri" w:eastAsia="Times New Roman" w:hAnsi="Calibri" w:cs="Arial"/>
          <w:lang w:eastAsia="de-DE"/>
        </w:rPr>
        <w:t>Aufgrund der bisherigen Transaktionstätigkeit muss aber davon ausgegangen werden, dass das Transaktionsvolumen</w:t>
      </w:r>
      <w:r w:rsidR="00A62B07">
        <w:rPr>
          <w:rFonts w:ascii="Calibri" w:eastAsia="Times New Roman" w:hAnsi="Calibri" w:cs="Arial"/>
          <w:lang w:eastAsia="de-DE"/>
        </w:rPr>
        <w:t xml:space="preserve"> nicht </w:t>
      </w:r>
      <w:r>
        <w:rPr>
          <w:rFonts w:ascii="Calibri" w:eastAsia="Times New Roman" w:hAnsi="Calibri" w:cs="Arial"/>
          <w:lang w:eastAsia="de-DE"/>
        </w:rPr>
        <w:t xml:space="preserve">das Vorjahresniveau erreichen wird. Somit muss die Prognose stark nach unten korrigiert werden. Aktuell gehen wir davon aus, dass ein Transaktionsvolumen von 1,2 Mrd. </w:t>
      </w:r>
      <w:r w:rsidR="00A62B07">
        <w:rPr>
          <w:rFonts w:ascii="Calibri" w:eastAsia="Times New Roman" w:hAnsi="Calibri" w:cs="Arial"/>
          <w:lang w:eastAsia="de-DE"/>
        </w:rPr>
        <w:t>€</w:t>
      </w:r>
      <w:r>
        <w:rPr>
          <w:rFonts w:ascii="Calibri" w:eastAsia="Times New Roman" w:hAnsi="Calibri" w:cs="Arial"/>
          <w:lang w:eastAsia="de-DE"/>
        </w:rPr>
        <w:t xml:space="preserve"> bis Jahresende erzielt werden kann.</w:t>
      </w:r>
      <w:r w:rsidRPr="00D138C5">
        <w:rPr>
          <w:rFonts w:ascii="Calibri" w:eastAsia="Times New Roman" w:hAnsi="Calibri" w:cs="Arial"/>
          <w:lang w:eastAsia="de-DE"/>
        </w:rPr>
        <w:t>“ </w:t>
      </w:r>
    </w:p>
    <w:p w14:paraId="6B47C4B4" w14:textId="77777777" w:rsidR="00AD2718" w:rsidRPr="00DB6152" w:rsidRDefault="00AD2718" w:rsidP="00AD2718">
      <w:pPr>
        <w:rPr>
          <w:rFonts w:cstheme="minorHAnsi"/>
          <w:color w:val="000000" w:themeColor="text1"/>
          <w:shd w:val="clear" w:color="auto" w:fill="FFFFFF"/>
        </w:rPr>
      </w:pPr>
    </w:p>
    <w:p w14:paraId="1A926697" w14:textId="77777777" w:rsidR="00BB17A9" w:rsidRDefault="00BB17A9" w:rsidP="0033357E">
      <w:pPr>
        <w:spacing w:after="0" w:line="240" w:lineRule="auto"/>
        <w:rPr>
          <w:rFonts w:eastAsia="Cambria" w:cs="Arial"/>
          <w:b/>
          <w:iCs/>
          <w:sz w:val="18"/>
          <w:szCs w:val="18"/>
        </w:rPr>
      </w:pPr>
      <w:bookmarkStart w:id="1" w:name="_Hlk98492384"/>
    </w:p>
    <w:p w14:paraId="423F81B2" w14:textId="77777777" w:rsidR="00BB17A9" w:rsidRDefault="00BB17A9" w:rsidP="0033357E">
      <w:pPr>
        <w:spacing w:after="0" w:line="240" w:lineRule="auto"/>
        <w:rPr>
          <w:rFonts w:eastAsia="Cambria" w:cs="Arial"/>
          <w:b/>
          <w:iCs/>
          <w:sz w:val="18"/>
          <w:szCs w:val="18"/>
        </w:rPr>
      </w:pPr>
    </w:p>
    <w:p w14:paraId="7D2E09E0" w14:textId="076300B3" w:rsidR="00BB17A9" w:rsidRDefault="00BB17A9" w:rsidP="0033357E">
      <w:pPr>
        <w:spacing w:after="0" w:line="240" w:lineRule="auto"/>
        <w:rPr>
          <w:rFonts w:eastAsia="Cambria" w:cs="Arial"/>
          <w:b/>
          <w:iCs/>
          <w:sz w:val="18"/>
          <w:szCs w:val="18"/>
        </w:rPr>
      </w:pPr>
    </w:p>
    <w:p w14:paraId="7C1E8740" w14:textId="2528C626" w:rsidR="00510906" w:rsidRDefault="00510906" w:rsidP="0033357E">
      <w:pPr>
        <w:spacing w:after="0" w:line="240" w:lineRule="auto"/>
        <w:rPr>
          <w:rFonts w:eastAsia="Cambria" w:cs="Arial"/>
          <w:b/>
          <w:iCs/>
          <w:sz w:val="18"/>
          <w:szCs w:val="18"/>
        </w:rPr>
      </w:pPr>
    </w:p>
    <w:p w14:paraId="28466EB5" w14:textId="3111DEFF" w:rsidR="00510906" w:rsidRDefault="00510906" w:rsidP="0033357E">
      <w:pPr>
        <w:spacing w:after="0" w:line="240" w:lineRule="auto"/>
        <w:rPr>
          <w:rFonts w:eastAsia="Cambria" w:cs="Arial"/>
          <w:b/>
          <w:iCs/>
          <w:sz w:val="18"/>
          <w:szCs w:val="18"/>
        </w:rPr>
      </w:pPr>
    </w:p>
    <w:p w14:paraId="15A4B88A" w14:textId="6B48446F" w:rsidR="00510906" w:rsidRDefault="00510906" w:rsidP="0033357E">
      <w:pPr>
        <w:spacing w:after="0" w:line="240" w:lineRule="auto"/>
        <w:rPr>
          <w:rFonts w:eastAsia="Cambria" w:cs="Arial"/>
          <w:b/>
          <w:iCs/>
          <w:sz w:val="18"/>
          <w:szCs w:val="18"/>
        </w:rPr>
      </w:pPr>
    </w:p>
    <w:p w14:paraId="4E7644A8" w14:textId="2A34B9AC" w:rsidR="00510906" w:rsidRDefault="00510906" w:rsidP="0033357E">
      <w:pPr>
        <w:spacing w:after="0" w:line="240" w:lineRule="auto"/>
        <w:rPr>
          <w:rFonts w:eastAsia="Cambria" w:cs="Arial"/>
          <w:b/>
          <w:iCs/>
          <w:sz w:val="18"/>
          <w:szCs w:val="18"/>
        </w:rPr>
      </w:pPr>
    </w:p>
    <w:p w14:paraId="43C3D0C1" w14:textId="4A2C4AB6" w:rsidR="00510906" w:rsidRDefault="00510906" w:rsidP="0033357E">
      <w:pPr>
        <w:spacing w:after="0" w:line="240" w:lineRule="auto"/>
        <w:rPr>
          <w:rFonts w:eastAsia="Cambria" w:cs="Arial"/>
          <w:b/>
          <w:iCs/>
          <w:sz w:val="18"/>
          <w:szCs w:val="18"/>
        </w:rPr>
      </w:pPr>
    </w:p>
    <w:p w14:paraId="203B16B7" w14:textId="15E321DB" w:rsidR="00510906" w:rsidRDefault="00510906" w:rsidP="0033357E">
      <w:pPr>
        <w:spacing w:after="0" w:line="240" w:lineRule="auto"/>
        <w:rPr>
          <w:rFonts w:eastAsia="Cambria" w:cs="Arial"/>
          <w:b/>
          <w:iCs/>
          <w:sz w:val="18"/>
          <w:szCs w:val="18"/>
        </w:rPr>
      </w:pPr>
    </w:p>
    <w:p w14:paraId="45968AF3" w14:textId="3B5D758D" w:rsidR="00510906" w:rsidRDefault="00510906" w:rsidP="0033357E">
      <w:pPr>
        <w:spacing w:after="0" w:line="240" w:lineRule="auto"/>
        <w:rPr>
          <w:rFonts w:eastAsia="Cambria" w:cs="Arial"/>
          <w:b/>
          <w:iCs/>
          <w:sz w:val="18"/>
          <w:szCs w:val="18"/>
        </w:rPr>
      </w:pPr>
    </w:p>
    <w:p w14:paraId="0B7383EF" w14:textId="699915E7" w:rsidR="00510906" w:rsidRDefault="00510906" w:rsidP="0033357E">
      <w:pPr>
        <w:spacing w:after="0" w:line="240" w:lineRule="auto"/>
        <w:rPr>
          <w:rFonts w:eastAsia="Cambria" w:cs="Arial"/>
          <w:b/>
          <w:iCs/>
          <w:sz w:val="18"/>
          <w:szCs w:val="18"/>
        </w:rPr>
      </w:pPr>
    </w:p>
    <w:p w14:paraId="30EA33F5" w14:textId="23D80D35" w:rsidR="00510906" w:rsidRDefault="00510906" w:rsidP="0033357E">
      <w:pPr>
        <w:spacing w:after="0" w:line="240" w:lineRule="auto"/>
        <w:rPr>
          <w:rFonts w:eastAsia="Cambria" w:cs="Arial"/>
          <w:b/>
          <w:iCs/>
          <w:sz w:val="18"/>
          <w:szCs w:val="18"/>
        </w:rPr>
      </w:pPr>
    </w:p>
    <w:p w14:paraId="327F5D82" w14:textId="5B3300FE" w:rsidR="00510906" w:rsidRDefault="00510906" w:rsidP="0033357E">
      <w:pPr>
        <w:spacing w:after="0" w:line="240" w:lineRule="auto"/>
        <w:rPr>
          <w:rFonts w:eastAsia="Cambria" w:cs="Arial"/>
          <w:b/>
          <w:iCs/>
          <w:sz w:val="18"/>
          <w:szCs w:val="18"/>
        </w:rPr>
      </w:pPr>
    </w:p>
    <w:p w14:paraId="4EB9F607" w14:textId="4F2037A5" w:rsidR="00510906" w:rsidRDefault="00510906" w:rsidP="0033357E">
      <w:pPr>
        <w:spacing w:after="0" w:line="240" w:lineRule="auto"/>
        <w:rPr>
          <w:rFonts w:eastAsia="Cambria" w:cs="Arial"/>
          <w:b/>
          <w:iCs/>
          <w:sz w:val="18"/>
          <w:szCs w:val="18"/>
        </w:rPr>
      </w:pPr>
    </w:p>
    <w:p w14:paraId="22038B43" w14:textId="7D024667" w:rsidR="00510906" w:rsidRDefault="00510906" w:rsidP="0033357E">
      <w:pPr>
        <w:spacing w:after="0" w:line="240" w:lineRule="auto"/>
        <w:rPr>
          <w:rFonts w:eastAsia="Cambria" w:cs="Arial"/>
          <w:b/>
          <w:iCs/>
          <w:sz w:val="18"/>
          <w:szCs w:val="18"/>
        </w:rPr>
      </w:pPr>
    </w:p>
    <w:p w14:paraId="5B53DF0B" w14:textId="3BA08C20" w:rsidR="00510906" w:rsidRDefault="00510906" w:rsidP="0033357E">
      <w:pPr>
        <w:spacing w:after="0" w:line="240" w:lineRule="auto"/>
        <w:rPr>
          <w:rFonts w:eastAsia="Cambria" w:cs="Arial"/>
          <w:b/>
          <w:iCs/>
          <w:sz w:val="18"/>
          <w:szCs w:val="18"/>
        </w:rPr>
      </w:pPr>
    </w:p>
    <w:p w14:paraId="192C8D61" w14:textId="5D388F57" w:rsidR="00510906" w:rsidRDefault="00510906" w:rsidP="0033357E">
      <w:pPr>
        <w:spacing w:after="0" w:line="240" w:lineRule="auto"/>
        <w:rPr>
          <w:rFonts w:eastAsia="Cambria" w:cs="Arial"/>
          <w:b/>
          <w:iCs/>
          <w:sz w:val="18"/>
          <w:szCs w:val="18"/>
        </w:rPr>
      </w:pPr>
    </w:p>
    <w:p w14:paraId="5DDFD2EC" w14:textId="6EAB8B29" w:rsidR="00510906" w:rsidRDefault="00510906" w:rsidP="0033357E">
      <w:pPr>
        <w:spacing w:after="0" w:line="240" w:lineRule="auto"/>
        <w:rPr>
          <w:rFonts w:eastAsia="Cambria" w:cs="Arial"/>
          <w:b/>
          <w:iCs/>
          <w:sz w:val="18"/>
          <w:szCs w:val="18"/>
        </w:rPr>
      </w:pPr>
    </w:p>
    <w:p w14:paraId="4606A585" w14:textId="0808C273" w:rsidR="00510906" w:rsidRDefault="00510906" w:rsidP="0033357E">
      <w:pPr>
        <w:spacing w:after="0" w:line="240" w:lineRule="auto"/>
        <w:rPr>
          <w:rFonts w:eastAsia="Cambria" w:cs="Arial"/>
          <w:b/>
          <w:iCs/>
          <w:sz w:val="18"/>
          <w:szCs w:val="18"/>
        </w:rPr>
      </w:pPr>
    </w:p>
    <w:p w14:paraId="5318752A" w14:textId="77777777" w:rsidR="00510906" w:rsidRDefault="00510906" w:rsidP="0033357E">
      <w:pPr>
        <w:spacing w:after="0" w:line="240" w:lineRule="auto"/>
        <w:rPr>
          <w:rFonts w:eastAsia="Cambria" w:cs="Arial"/>
          <w:b/>
          <w:iCs/>
          <w:sz w:val="18"/>
          <w:szCs w:val="18"/>
        </w:rPr>
      </w:pPr>
    </w:p>
    <w:p w14:paraId="5F699403" w14:textId="77777777" w:rsidR="00BB17A9" w:rsidRDefault="00BB17A9" w:rsidP="0033357E">
      <w:pPr>
        <w:spacing w:after="0" w:line="240" w:lineRule="auto"/>
        <w:rPr>
          <w:rFonts w:eastAsia="Cambria" w:cs="Arial"/>
          <w:b/>
          <w:iCs/>
          <w:sz w:val="18"/>
          <w:szCs w:val="18"/>
        </w:rPr>
      </w:pPr>
    </w:p>
    <w:p w14:paraId="3569F31A" w14:textId="57E89BEE" w:rsidR="00BB17A9" w:rsidRDefault="00BB17A9" w:rsidP="0033357E">
      <w:pPr>
        <w:spacing w:after="0" w:line="240" w:lineRule="auto"/>
        <w:rPr>
          <w:rFonts w:eastAsia="Cambria" w:cs="Arial"/>
          <w:b/>
          <w:iCs/>
          <w:sz w:val="18"/>
          <w:szCs w:val="18"/>
        </w:rPr>
      </w:pPr>
    </w:p>
    <w:p w14:paraId="11B2D52D" w14:textId="14A8DF6A" w:rsidR="00A62B07" w:rsidRDefault="00A62B07" w:rsidP="0033357E">
      <w:pPr>
        <w:spacing w:after="0" w:line="240" w:lineRule="auto"/>
        <w:rPr>
          <w:rFonts w:eastAsia="Cambria" w:cs="Arial"/>
          <w:b/>
          <w:iCs/>
          <w:sz w:val="18"/>
          <w:szCs w:val="18"/>
        </w:rPr>
      </w:pPr>
    </w:p>
    <w:p w14:paraId="2D8FA499" w14:textId="7AAA592C" w:rsidR="00A62B07" w:rsidRDefault="00A62B07" w:rsidP="0033357E">
      <w:pPr>
        <w:spacing w:after="0" w:line="240" w:lineRule="auto"/>
        <w:rPr>
          <w:rFonts w:eastAsia="Cambria" w:cs="Arial"/>
          <w:b/>
          <w:iCs/>
          <w:sz w:val="18"/>
          <w:szCs w:val="18"/>
        </w:rPr>
      </w:pPr>
    </w:p>
    <w:p w14:paraId="742BD3C8" w14:textId="5068A7F3" w:rsidR="00A62B07" w:rsidRDefault="00A62B07" w:rsidP="0033357E">
      <w:pPr>
        <w:spacing w:after="0" w:line="240" w:lineRule="auto"/>
        <w:rPr>
          <w:rFonts w:eastAsia="Cambria" w:cs="Arial"/>
          <w:b/>
          <w:iCs/>
          <w:sz w:val="18"/>
          <w:szCs w:val="18"/>
        </w:rPr>
      </w:pPr>
    </w:p>
    <w:p w14:paraId="59FFFEB3" w14:textId="77777777" w:rsidR="00A62B07" w:rsidRDefault="00A62B07" w:rsidP="0033357E">
      <w:pPr>
        <w:spacing w:after="0" w:line="240" w:lineRule="auto"/>
        <w:rPr>
          <w:rFonts w:eastAsia="Cambria" w:cs="Arial"/>
          <w:b/>
          <w:iCs/>
          <w:sz w:val="18"/>
          <w:szCs w:val="18"/>
        </w:rPr>
      </w:pPr>
    </w:p>
    <w:p w14:paraId="5FEA898A" w14:textId="77777777" w:rsidR="00BB17A9" w:rsidRDefault="00BB17A9" w:rsidP="0033357E">
      <w:pPr>
        <w:spacing w:after="0" w:line="240" w:lineRule="auto"/>
        <w:rPr>
          <w:rFonts w:eastAsia="Cambria" w:cs="Arial"/>
          <w:b/>
          <w:iCs/>
          <w:sz w:val="18"/>
          <w:szCs w:val="18"/>
        </w:rPr>
      </w:pPr>
    </w:p>
    <w:p w14:paraId="162AA02D" w14:textId="7A49B89F" w:rsidR="00ED3B98" w:rsidRPr="007F6D26" w:rsidRDefault="00ED3B98" w:rsidP="00ED3B98">
      <w:pPr>
        <w:spacing w:after="0" w:line="240" w:lineRule="auto"/>
        <w:rPr>
          <w:rFonts w:eastAsia="Cambria" w:cs="Arial"/>
          <w:iCs/>
          <w:sz w:val="18"/>
          <w:szCs w:val="18"/>
        </w:rPr>
      </w:pPr>
      <w:r>
        <w:rPr>
          <w:rFonts w:eastAsia="Cambria" w:cs="Arial"/>
          <w:b/>
          <w:iCs/>
          <w:sz w:val="18"/>
          <w:szCs w:val="18"/>
        </w:rPr>
        <w:t>E &amp; G Real Estate</w:t>
      </w:r>
      <w:r>
        <w:rPr>
          <w:rFonts w:eastAsia="Cambria" w:cs="Arial"/>
          <w:iCs/>
          <w:sz w:val="18"/>
          <w:szCs w:val="18"/>
        </w:rPr>
        <w:br/>
      </w:r>
      <w:r w:rsidRPr="007F6D26">
        <w:rPr>
          <w:rFonts w:eastAsia="Cambria" w:cs="Arial"/>
          <w:iCs/>
          <w:sz w:val="18"/>
          <w:szCs w:val="18"/>
        </w:rPr>
        <w:t xml:space="preserve">In Baden-Württemberg und Bayern steht die </w:t>
      </w:r>
      <w:hyperlink r:id="rId7" w:history="1">
        <w:r w:rsidRPr="007F6D26">
          <w:rPr>
            <w:rFonts w:eastAsia="Cambria" w:cs="Arial"/>
            <w:iCs/>
            <w:sz w:val="18"/>
            <w:szCs w:val="18"/>
            <w:u w:val="single"/>
          </w:rPr>
          <w:t>E &amp; G Real Estate</w:t>
        </w:r>
      </w:hyperlink>
      <w:r w:rsidRPr="007F6D26">
        <w:rPr>
          <w:rFonts w:eastAsia="Cambria" w:cs="Arial"/>
          <w:iCs/>
          <w:sz w:val="18"/>
          <w:szCs w:val="18"/>
          <w:u w:val="single"/>
        </w:rPr>
        <w:t xml:space="preserve"> GmbH</w:t>
      </w:r>
      <w:r w:rsidRPr="007F6D26">
        <w:rPr>
          <w:rFonts w:eastAsia="Cambria" w:cs="Arial"/>
          <w:iCs/>
          <w:sz w:val="18"/>
          <w:szCs w:val="18"/>
        </w:rPr>
        <w:t xml:space="preserve"> für individuelle und persönliche Beratung beim Verkauf und der Vermietung von Gewerbe- und Wohnimmobilien. Neben dem Stuttgarter Stammsitz und der Münchner Niederlassung ist E &amp; G Real Estate</w:t>
      </w:r>
      <w:r w:rsidR="006E4F31" w:rsidRPr="007F6D26">
        <w:rPr>
          <w:rFonts w:eastAsia="Cambria" w:cs="Arial"/>
          <w:iCs/>
          <w:sz w:val="18"/>
          <w:szCs w:val="18"/>
        </w:rPr>
        <w:t>,</w:t>
      </w:r>
      <w:r w:rsidRPr="007F6D26">
        <w:rPr>
          <w:rFonts w:eastAsia="Cambria" w:cs="Arial"/>
          <w:iCs/>
          <w:sz w:val="18"/>
          <w:szCs w:val="18"/>
        </w:rPr>
        <w:t xml:space="preserve"> durch die Mehrheitsbeteiligung der </w:t>
      </w:r>
      <w:hyperlink r:id="rId8" w:history="1">
        <w:r w:rsidRPr="007F6D26">
          <w:rPr>
            <w:rStyle w:val="Hyperlink"/>
            <w:rFonts w:eastAsia="Cambria" w:cs="Arial"/>
            <w:iCs/>
            <w:color w:val="auto"/>
            <w:sz w:val="18"/>
            <w:szCs w:val="18"/>
          </w:rPr>
          <w:t>Grossmann &amp; Berger GmbH</w:t>
        </w:r>
      </w:hyperlink>
      <w:r w:rsidRPr="007F6D26">
        <w:rPr>
          <w:rFonts w:eastAsia="Cambria" w:cs="Arial"/>
          <w:iCs/>
          <w:sz w:val="18"/>
          <w:szCs w:val="18"/>
        </w:rPr>
        <w:t xml:space="preserve"> seit 2021</w:t>
      </w:r>
      <w:r w:rsidR="006E4F31" w:rsidRPr="007F6D26">
        <w:rPr>
          <w:rFonts w:eastAsia="Cambria" w:cs="Arial"/>
          <w:iCs/>
          <w:sz w:val="18"/>
          <w:szCs w:val="18"/>
        </w:rPr>
        <w:t>,</w:t>
      </w:r>
      <w:r w:rsidRPr="007F6D26">
        <w:rPr>
          <w:rFonts w:eastAsia="Cambria" w:cs="Arial"/>
          <w:iCs/>
          <w:sz w:val="18"/>
          <w:szCs w:val="18"/>
        </w:rPr>
        <w:t xml:space="preserve"> auch im norddeutschen Raum vertreten. Die insgesamt rund 250 Mitarbeiter profitieren von mehr als 85 Jahren Immobilienkompetenz und decken damit das gesamte Branchen-Dienstleistungsspektrum ab.</w:t>
      </w:r>
    </w:p>
    <w:p w14:paraId="7C4F8B87" w14:textId="77777777" w:rsidR="00ED3B98" w:rsidRPr="007F6D26" w:rsidRDefault="00ED3B98" w:rsidP="00ED3B98">
      <w:pPr>
        <w:spacing w:after="0" w:line="240" w:lineRule="auto"/>
        <w:rPr>
          <w:rFonts w:eastAsia="Cambria" w:cs="Arial"/>
          <w:iCs/>
          <w:sz w:val="18"/>
          <w:szCs w:val="18"/>
        </w:rPr>
      </w:pPr>
      <w:r w:rsidRPr="007F6D26">
        <w:rPr>
          <w:rFonts w:eastAsia="Cambria" w:cs="Arial"/>
          <w:iCs/>
          <w:sz w:val="18"/>
          <w:szCs w:val="18"/>
        </w:rPr>
        <w:t xml:space="preserve">E &amp; G Real Estate ist Mitglied von </w:t>
      </w:r>
      <w:hyperlink r:id="rId9" w:history="1">
        <w:r w:rsidRPr="007F6D26">
          <w:rPr>
            <w:rFonts w:eastAsia="Cambria" w:cs="Arial"/>
            <w:iCs/>
            <w:sz w:val="18"/>
            <w:szCs w:val="18"/>
            <w:u w:val="single"/>
          </w:rPr>
          <w:t>German Property Partners</w:t>
        </w:r>
      </w:hyperlink>
      <w:r w:rsidRPr="007F6D26">
        <w:rPr>
          <w:rFonts w:eastAsia="Cambria" w:cs="Arial"/>
          <w:iCs/>
          <w:sz w:val="18"/>
          <w:szCs w:val="18"/>
        </w:rPr>
        <w:t xml:space="preserve"> (GPP) und bietet ein deutschlandweites Gewerbeimmobiliennetzwerk an allen Top-7-Standorten.</w:t>
      </w:r>
    </w:p>
    <w:p w14:paraId="42796B17" w14:textId="77777777" w:rsidR="003E5788" w:rsidRPr="007F6D26" w:rsidRDefault="003E5788" w:rsidP="0033357E">
      <w:pPr>
        <w:pStyle w:val="Formatvorlage1"/>
        <w:spacing w:line="240" w:lineRule="auto"/>
        <w:rPr>
          <w:rFonts w:asciiTheme="minorHAnsi" w:hAnsiTheme="minorHAnsi"/>
          <w:b/>
          <w:sz w:val="18"/>
          <w:szCs w:val="18"/>
        </w:rPr>
      </w:pPr>
    </w:p>
    <w:p w14:paraId="7A2800B1" w14:textId="4CDB08AC" w:rsidR="0033357E" w:rsidRDefault="003E5788" w:rsidP="00A62B07">
      <w:pPr>
        <w:spacing w:after="0" w:line="240" w:lineRule="auto"/>
        <w:rPr>
          <w:sz w:val="18"/>
          <w:szCs w:val="18"/>
        </w:rPr>
      </w:pPr>
      <w:r w:rsidRPr="007F6D26">
        <w:rPr>
          <w:rFonts w:eastAsia="Cambria" w:cs="Arial"/>
          <w:iCs/>
          <w:sz w:val="18"/>
          <w:szCs w:val="18"/>
        </w:rPr>
        <w:t xml:space="preserve">Die </w:t>
      </w:r>
      <w:hyperlink r:id="rId10" w:history="1">
        <w:r w:rsidRPr="007F6D26">
          <w:rPr>
            <w:rFonts w:eastAsia="Cambria"/>
            <w:iCs/>
            <w:sz w:val="18"/>
            <w:szCs w:val="18"/>
            <w:u w:val="single"/>
          </w:rPr>
          <w:t>Datenschutzrichtlinie</w:t>
        </w:r>
      </w:hyperlink>
      <w:r w:rsidRPr="007F6D26">
        <w:rPr>
          <w:rFonts w:eastAsia="Cambria" w:cs="Arial"/>
          <w:iCs/>
          <w:sz w:val="18"/>
          <w:szCs w:val="18"/>
        </w:rPr>
        <w:t xml:space="preserve"> von E &amp; G Real Estate finden Sie auf unserer Website.</w:t>
      </w:r>
      <w:r w:rsidRPr="007F6D26">
        <w:rPr>
          <w:rFonts w:eastAsia="Cambria" w:cs="Arial"/>
          <w:iCs/>
          <w:sz w:val="18"/>
          <w:szCs w:val="18"/>
        </w:rPr>
        <w:br/>
        <w:t xml:space="preserve">Wenn Sie zukünftig keine Informationen unserer Pressestelle mehr erhalten möchten, senden Sie bitte eine E-Mail an </w:t>
      </w:r>
      <w:hyperlink r:id="rId11" w:history="1">
        <w:r w:rsidRPr="007F6D26">
          <w:rPr>
            <w:rStyle w:val="Hyperlink"/>
            <w:rFonts w:eastAsia="Cambria"/>
            <w:iCs/>
            <w:color w:val="auto"/>
            <w:sz w:val="18"/>
            <w:szCs w:val="18"/>
          </w:rPr>
          <w:t>stuttgart@eug-re.de</w:t>
        </w:r>
      </w:hyperlink>
      <w:r w:rsidRPr="007F6D26">
        <w:rPr>
          <w:rFonts w:eastAsia="Cambria" w:cs="Arial"/>
          <w:iCs/>
          <w:sz w:val="18"/>
          <w:szCs w:val="18"/>
        </w:rPr>
        <w:t xml:space="preserve"> mit dem Betreff „Abmeldung Presseverteiler".</w:t>
      </w:r>
    </w:p>
    <w:bookmarkEnd w:id="1"/>
    <w:sectPr w:rsidR="0033357E" w:rsidSect="0023208F">
      <w:headerReference w:type="even" r:id="rId12"/>
      <w:headerReference w:type="default" r:id="rId13"/>
      <w:footerReference w:type="even" r:id="rId14"/>
      <w:footerReference w:type="default" r:id="rId15"/>
      <w:headerReference w:type="first" r:id="rId16"/>
      <w:footerReference w:type="first" r:id="rId17"/>
      <w:pgSz w:w="11906" w:h="16838"/>
      <w:pgMar w:top="1701"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CDE8" w14:textId="77777777" w:rsidR="009B32A9" w:rsidRDefault="00155FEF">
      <w:pPr>
        <w:spacing w:after="0" w:line="240" w:lineRule="auto"/>
      </w:pPr>
      <w:r>
        <w:separator/>
      </w:r>
    </w:p>
  </w:endnote>
  <w:endnote w:type="continuationSeparator" w:id="0">
    <w:p w14:paraId="662C9D3E" w14:textId="77777777" w:rsidR="009B32A9" w:rsidRDefault="0015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3125" w14:textId="77777777" w:rsidR="00FB6271" w:rsidRDefault="00FB62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1474" w14:textId="77777777" w:rsidR="00FB6271" w:rsidRDefault="00FB62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E46F" w14:textId="77777777" w:rsidR="00FB6271" w:rsidRDefault="00FB62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75AE" w14:textId="77777777" w:rsidR="009B32A9" w:rsidRDefault="00155FEF">
      <w:pPr>
        <w:spacing w:after="0" w:line="240" w:lineRule="auto"/>
      </w:pPr>
      <w:r>
        <w:separator/>
      </w:r>
    </w:p>
  </w:footnote>
  <w:footnote w:type="continuationSeparator" w:id="0">
    <w:p w14:paraId="5CAA37CE" w14:textId="77777777" w:rsidR="009B32A9" w:rsidRDefault="0015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D378" w14:textId="77777777" w:rsidR="00FB6271" w:rsidRDefault="00FB62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03B3" w14:textId="1FB72198" w:rsidR="0023208F" w:rsidRDefault="009A4BA8">
    <w:pPr>
      <w:pStyle w:val="Kopfzeile"/>
    </w:pPr>
    <w:r>
      <w:rPr>
        <w:noProof/>
      </w:rPr>
      <w:drawing>
        <wp:anchor distT="0" distB="0" distL="114300" distR="114300" simplePos="0" relativeHeight="251658240" behindDoc="1" locked="0" layoutInCell="1" allowOverlap="1" wp14:anchorId="4F9090B8" wp14:editId="520B761E">
          <wp:simplePos x="0" y="0"/>
          <wp:positionH relativeFrom="page">
            <wp:align>right</wp:align>
          </wp:positionH>
          <wp:positionV relativeFrom="paragraph">
            <wp:posOffset>-450215</wp:posOffset>
          </wp:positionV>
          <wp:extent cx="7553325" cy="106837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740"/>
                  </a:xfrm>
                  <a:prstGeom prst="rect">
                    <a:avLst/>
                  </a:prstGeom>
                </pic:spPr>
              </pic:pic>
            </a:graphicData>
          </a:graphic>
          <wp14:sizeRelH relativeFrom="page">
            <wp14:pctWidth>0</wp14:pctWidth>
          </wp14:sizeRelH>
          <wp14:sizeRelV relativeFrom="page">
            <wp14:pctHeight>0</wp14:pctHeight>
          </wp14:sizeRelV>
        </wp:anchor>
      </w:drawing>
    </w:r>
  </w:p>
  <w:p w14:paraId="7662A0A6" w14:textId="531E1B2D" w:rsidR="0023208F" w:rsidRDefault="009A4BA8" w:rsidP="009A4BA8">
    <w:pPr>
      <w:pStyle w:val="Kopfzeile"/>
      <w:tabs>
        <w:tab w:val="clear" w:pos="4536"/>
        <w:tab w:val="clear" w:pos="9072"/>
        <w:tab w:val="left" w:pos="1620"/>
        <w:tab w:val="left" w:pos="2760"/>
      </w:tabs>
    </w:pPr>
    <w:r>
      <w:tab/>
    </w:r>
    <w:r>
      <w:tab/>
    </w:r>
  </w:p>
  <w:p w14:paraId="45056397" w14:textId="7ACA7450" w:rsidR="009A4BA8" w:rsidRDefault="009A4BA8" w:rsidP="009A4BA8">
    <w:pPr>
      <w:pStyle w:val="Kopfzeile"/>
      <w:tabs>
        <w:tab w:val="clear" w:pos="4536"/>
        <w:tab w:val="clear" w:pos="9072"/>
        <w:tab w:val="left" w:pos="1620"/>
        <w:tab w:val="left" w:pos="2760"/>
      </w:tabs>
    </w:pPr>
  </w:p>
  <w:p w14:paraId="43DD26CF" w14:textId="1626B5E2" w:rsidR="009A4BA8" w:rsidRDefault="009A4BA8" w:rsidP="009A4BA8">
    <w:pPr>
      <w:pStyle w:val="Kopfzeile"/>
      <w:tabs>
        <w:tab w:val="clear" w:pos="4536"/>
        <w:tab w:val="clear" w:pos="9072"/>
        <w:tab w:val="left" w:pos="1620"/>
        <w:tab w:val="left" w:pos="2760"/>
      </w:tabs>
    </w:pPr>
  </w:p>
  <w:p w14:paraId="661C5B0B" w14:textId="68DD9AD2" w:rsidR="009A4BA8" w:rsidRDefault="009A4BA8" w:rsidP="009A4BA8">
    <w:pPr>
      <w:pStyle w:val="Kopfzeile"/>
      <w:tabs>
        <w:tab w:val="clear" w:pos="4536"/>
        <w:tab w:val="clear" w:pos="9072"/>
        <w:tab w:val="left" w:pos="1620"/>
        <w:tab w:val="left" w:pos="2760"/>
      </w:tabs>
    </w:pPr>
  </w:p>
  <w:p w14:paraId="188964BA" w14:textId="77777777" w:rsidR="009A4BA8" w:rsidRDefault="009A4BA8" w:rsidP="009A4BA8">
    <w:pPr>
      <w:pStyle w:val="Kopfzeile"/>
      <w:tabs>
        <w:tab w:val="clear" w:pos="4536"/>
        <w:tab w:val="clear" w:pos="9072"/>
        <w:tab w:val="left" w:pos="1620"/>
        <w:tab w:val="left" w:pos="27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FBCE" w14:textId="77777777" w:rsidR="00FB6271" w:rsidRDefault="00FB62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8392D2"/>
    <w:multiLevelType w:val="hybridMultilevel"/>
    <w:tmpl w:val="5CA083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B3F3C"/>
    <w:multiLevelType w:val="hybridMultilevel"/>
    <w:tmpl w:val="2C8E2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94C119"/>
    <w:multiLevelType w:val="hybridMultilevel"/>
    <w:tmpl w:val="E0BEE1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25978"/>
    <w:multiLevelType w:val="hybridMultilevel"/>
    <w:tmpl w:val="1EFC2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65B672"/>
    <w:multiLevelType w:val="hybridMultilevel"/>
    <w:tmpl w:val="47B6FE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196DBB"/>
    <w:multiLevelType w:val="multilevel"/>
    <w:tmpl w:val="F6F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D663B7"/>
    <w:multiLevelType w:val="multilevel"/>
    <w:tmpl w:val="3AFA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80612"/>
    <w:multiLevelType w:val="hybridMultilevel"/>
    <w:tmpl w:val="17BC10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CEF5C20"/>
    <w:multiLevelType w:val="hybridMultilevel"/>
    <w:tmpl w:val="012EED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7844076">
    <w:abstractNumId w:val="3"/>
  </w:num>
  <w:num w:numId="2" w16cid:durableId="1012416559">
    <w:abstractNumId w:val="8"/>
  </w:num>
  <w:num w:numId="3" w16cid:durableId="304504826">
    <w:abstractNumId w:val="2"/>
  </w:num>
  <w:num w:numId="4" w16cid:durableId="252471722">
    <w:abstractNumId w:val="1"/>
  </w:num>
  <w:num w:numId="5" w16cid:durableId="324823831">
    <w:abstractNumId w:val="4"/>
  </w:num>
  <w:num w:numId="6" w16cid:durableId="306518687">
    <w:abstractNumId w:val="5"/>
  </w:num>
  <w:num w:numId="7" w16cid:durableId="2005744839">
    <w:abstractNumId w:val="0"/>
  </w:num>
  <w:num w:numId="8" w16cid:durableId="1924142774">
    <w:abstractNumId w:val="7"/>
  </w:num>
  <w:num w:numId="9" w16cid:durableId="208956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2A"/>
    <w:rsid w:val="00054416"/>
    <w:rsid w:val="000E53C4"/>
    <w:rsid w:val="00155FEF"/>
    <w:rsid w:val="001A76B4"/>
    <w:rsid w:val="001E631A"/>
    <w:rsid w:val="00231E7F"/>
    <w:rsid w:val="002670F8"/>
    <w:rsid w:val="002816C5"/>
    <w:rsid w:val="00286569"/>
    <w:rsid w:val="00292418"/>
    <w:rsid w:val="002F7E72"/>
    <w:rsid w:val="0033357E"/>
    <w:rsid w:val="00335E3C"/>
    <w:rsid w:val="00342840"/>
    <w:rsid w:val="003512B8"/>
    <w:rsid w:val="00356134"/>
    <w:rsid w:val="0039564C"/>
    <w:rsid w:val="003C279E"/>
    <w:rsid w:val="003E5788"/>
    <w:rsid w:val="0044548A"/>
    <w:rsid w:val="00463417"/>
    <w:rsid w:val="00510906"/>
    <w:rsid w:val="00537550"/>
    <w:rsid w:val="005A467D"/>
    <w:rsid w:val="005C004B"/>
    <w:rsid w:val="005C506C"/>
    <w:rsid w:val="005D164A"/>
    <w:rsid w:val="0064279E"/>
    <w:rsid w:val="006907E9"/>
    <w:rsid w:val="006A30B5"/>
    <w:rsid w:val="006D656E"/>
    <w:rsid w:val="006E4F31"/>
    <w:rsid w:val="006F3CDF"/>
    <w:rsid w:val="00734289"/>
    <w:rsid w:val="00760714"/>
    <w:rsid w:val="00765EE5"/>
    <w:rsid w:val="007B4B5B"/>
    <w:rsid w:val="007F6D26"/>
    <w:rsid w:val="0081387F"/>
    <w:rsid w:val="00926E21"/>
    <w:rsid w:val="00962734"/>
    <w:rsid w:val="00972C19"/>
    <w:rsid w:val="009A4BA8"/>
    <w:rsid w:val="009B32A9"/>
    <w:rsid w:val="009E4278"/>
    <w:rsid w:val="00A4551A"/>
    <w:rsid w:val="00A62B07"/>
    <w:rsid w:val="00AD2718"/>
    <w:rsid w:val="00AD462A"/>
    <w:rsid w:val="00AF6153"/>
    <w:rsid w:val="00B01C11"/>
    <w:rsid w:val="00B16B1F"/>
    <w:rsid w:val="00BB17A9"/>
    <w:rsid w:val="00BB3A39"/>
    <w:rsid w:val="00BE2837"/>
    <w:rsid w:val="00C62614"/>
    <w:rsid w:val="00CE59D1"/>
    <w:rsid w:val="00E35C38"/>
    <w:rsid w:val="00E44D0C"/>
    <w:rsid w:val="00EA1A60"/>
    <w:rsid w:val="00ED3B98"/>
    <w:rsid w:val="00EF52DD"/>
    <w:rsid w:val="00F354FF"/>
    <w:rsid w:val="00F36D1A"/>
    <w:rsid w:val="00F4106E"/>
    <w:rsid w:val="00F465CE"/>
    <w:rsid w:val="00F83B8E"/>
    <w:rsid w:val="00FB6271"/>
    <w:rsid w:val="00FE1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9BF202"/>
  <w15:chartTrackingRefBased/>
  <w15:docId w15:val="{AF190888-2800-4EA9-86A9-860BCE5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35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D46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D462A"/>
  </w:style>
  <w:style w:type="character" w:customStyle="1" w:styleId="eop">
    <w:name w:val="eop"/>
    <w:basedOn w:val="Absatz-Standardschriftart"/>
    <w:rsid w:val="00AD462A"/>
  </w:style>
  <w:style w:type="paragraph" w:styleId="Kopfzeile">
    <w:name w:val="header"/>
    <w:basedOn w:val="Standard"/>
    <w:link w:val="KopfzeileZchn"/>
    <w:uiPriority w:val="99"/>
    <w:unhideWhenUsed/>
    <w:rsid w:val="00AD46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62A"/>
  </w:style>
  <w:style w:type="character" w:styleId="Hyperlink">
    <w:name w:val="Hyperlink"/>
    <w:basedOn w:val="Absatz-Standardschriftart"/>
    <w:uiPriority w:val="99"/>
    <w:unhideWhenUsed/>
    <w:rsid w:val="00AD462A"/>
    <w:rPr>
      <w:color w:val="0563C1" w:themeColor="hyperlink"/>
      <w:u w:val="single"/>
    </w:rPr>
  </w:style>
  <w:style w:type="paragraph" w:customStyle="1" w:styleId="Formatvorlage1">
    <w:name w:val="Formatvorlage1"/>
    <w:basedOn w:val="Standard"/>
    <w:link w:val="Formatvorlage1Zchn"/>
    <w:qFormat/>
    <w:rsid w:val="00AD462A"/>
    <w:pPr>
      <w:autoSpaceDE w:val="0"/>
      <w:autoSpaceDN w:val="0"/>
      <w:adjustRightInd w:val="0"/>
      <w:spacing w:after="0" w:line="320" w:lineRule="atLeast"/>
      <w:jc w:val="both"/>
      <w:textAlignment w:val="center"/>
    </w:pPr>
    <w:rPr>
      <w:rFonts w:ascii="Arial" w:eastAsia="Cambria" w:hAnsi="Arial" w:cs="Arial"/>
      <w:iCs/>
      <w:sz w:val="24"/>
      <w:szCs w:val="24"/>
    </w:rPr>
  </w:style>
  <w:style w:type="character" w:customStyle="1" w:styleId="Formatvorlage1Zchn">
    <w:name w:val="Formatvorlage1 Zchn"/>
    <w:basedOn w:val="Absatz-Standardschriftart"/>
    <w:link w:val="Formatvorlage1"/>
    <w:rsid w:val="00AD462A"/>
    <w:rPr>
      <w:rFonts w:ascii="Arial" w:eastAsia="Cambria" w:hAnsi="Arial" w:cs="Arial"/>
      <w:iCs/>
      <w:sz w:val="24"/>
      <w:szCs w:val="24"/>
    </w:rPr>
  </w:style>
  <w:style w:type="paragraph" w:styleId="Listenabsatz">
    <w:name w:val="List Paragraph"/>
    <w:basedOn w:val="Standard"/>
    <w:uiPriority w:val="34"/>
    <w:qFormat/>
    <w:rsid w:val="00AD462A"/>
    <w:pPr>
      <w:ind w:left="720"/>
      <w:contextualSpacing/>
    </w:pPr>
  </w:style>
  <w:style w:type="paragraph" w:customStyle="1" w:styleId="Default">
    <w:name w:val="Default"/>
    <w:rsid w:val="00AD462A"/>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5D16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164A"/>
    <w:rPr>
      <w:rFonts w:ascii="Segoe UI" w:hAnsi="Segoe UI" w:cs="Segoe UI"/>
      <w:sz w:val="18"/>
      <w:szCs w:val="18"/>
    </w:rPr>
  </w:style>
  <w:style w:type="character" w:styleId="Kommentarzeichen">
    <w:name w:val="annotation reference"/>
    <w:basedOn w:val="Absatz-Standardschriftart"/>
    <w:uiPriority w:val="99"/>
    <w:semiHidden/>
    <w:unhideWhenUsed/>
    <w:rsid w:val="005A467D"/>
    <w:rPr>
      <w:sz w:val="16"/>
      <w:szCs w:val="16"/>
    </w:rPr>
  </w:style>
  <w:style w:type="paragraph" w:styleId="Kommentartext">
    <w:name w:val="annotation text"/>
    <w:basedOn w:val="Standard"/>
    <w:link w:val="KommentartextZchn"/>
    <w:uiPriority w:val="99"/>
    <w:semiHidden/>
    <w:unhideWhenUsed/>
    <w:rsid w:val="005A46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467D"/>
    <w:rPr>
      <w:sz w:val="20"/>
      <w:szCs w:val="20"/>
    </w:rPr>
  </w:style>
  <w:style w:type="paragraph" w:styleId="Kommentarthema">
    <w:name w:val="annotation subject"/>
    <w:basedOn w:val="Kommentartext"/>
    <w:next w:val="Kommentartext"/>
    <w:link w:val="KommentarthemaZchn"/>
    <w:uiPriority w:val="99"/>
    <w:semiHidden/>
    <w:unhideWhenUsed/>
    <w:rsid w:val="005A467D"/>
    <w:rPr>
      <w:b/>
      <w:bCs/>
    </w:rPr>
  </w:style>
  <w:style w:type="character" w:customStyle="1" w:styleId="KommentarthemaZchn">
    <w:name w:val="Kommentarthema Zchn"/>
    <w:basedOn w:val="KommentartextZchn"/>
    <w:link w:val="Kommentarthema"/>
    <w:uiPriority w:val="99"/>
    <w:semiHidden/>
    <w:rsid w:val="005A467D"/>
    <w:rPr>
      <w:b/>
      <w:bCs/>
      <w:sz w:val="20"/>
      <w:szCs w:val="20"/>
    </w:rPr>
  </w:style>
  <w:style w:type="paragraph" w:styleId="StandardWeb">
    <w:name w:val="Normal (Web)"/>
    <w:basedOn w:val="Standard"/>
    <w:uiPriority w:val="99"/>
    <w:semiHidden/>
    <w:unhideWhenUsed/>
    <w:rsid w:val="0096273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335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57E"/>
  </w:style>
  <w:style w:type="character" w:styleId="NichtaufgelsteErwhnung">
    <w:name w:val="Unresolved Mention"/>
    <w:basedOn w:val="Absatz-Standardschriftart"/>
    <w:uiPriority w:val="99"/>
    <w:semiHidden/>
    <w:unhideWhenUsed/>
    <w:rsid w:val="003E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16732">
      <w:bodyDiv w:val="1"/>
      <w:marLeft w:val="0"/>
      <w:marRight w:val="0"/>
      <w:marTop w:val="0"/>
      <w:marBottom w:val="0"/>
      <w:divBdr>
        <w:top w:val="none" w:sz="0" w:space="0" w:color="auto"/>
        <w:left w:val="none" w:sz="0" w:space="0" w:color="auto"/>
        <w:bottom w:val="none" w:sz="0" w:space="0" w:color="auto"/>
        <w:right w:val="none" w:sz="0" w:space="0" w:color="auto"/>
      </w:divBdr>
    </w:div>
    <w:div w:id="1616599676">
      <w:bodyDiv w:val="1"/>
      <w:marLeft w:val="0"/>
      <w:marRight w:val="0"/>
      <w:marTop w:val="0"/>
      <w:marBottom w:val="0"/>
      <w:divBdr>
        <w:top w:val="none" w:sz="0" w:space="0" w:color="auto"/>
        <w:left w:val="none" w:sz="0" w:space="0" w:color="auto"/>
        <w:bottom w:val="none" w:sz="0" w:space="0" w:color="auto"/>
        <w:right w:val="none" w:sz="0" w:space="0" w:color="auto"/>
      </w:divBdr>
    </w:div>
    <w:div w:id="18342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ssmann-berger.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g-realestate.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ttgart@eug-re.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ug-immobilien.de/datenschut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ermanpropertypartner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Sarah Danielle</dc:creator>
  <cp:keywords/>
  <dc:description/>
  <cp:lastModifiedBy>Hein, Sarah Danielle</cp:lastModifiedBy>
  <cp:revision>3</cp:revision>
  <cp:lastPrinted>2022-04-05T09:00:00Z</cp:lastPrinted>
  <dcterms:created xsi:type="dcterms:W3CDTF">2022-06-29T08:32:00Z</dcterms:created>
  <dcterms:modified xsi:type="dcterms:W3CDTF">2022-06-29T08:32:00Z</dcterms:modified>
</cp:coreProperties>
</file>